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252C" w14:textId="77777777" w:rsidR="00D37A3A" w:rsidRDefault="00D37A3A" w:rsidP="00EC380C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Theme="majorHAnsi" w:eastAsiaTheme="minorEastAsia" w:hAnsiTheme="majorHAnsi" w:cs="Helvetica"/>
          <w:b/>
          <w:lang w:val="es-ES" w:eastAsia="es-ES"/>
        </w:rPr>
      </w:pPr>
      <w:r w:rsidRPr="00EC380C">
        <w:rPr>
          <w:rFonts w:asciiTheme="majorHAnsi" w:eastAsiaTheme="minorEastAsia" w:hAnsiTheme="majorHAnsi" w:cs="Helvetica"/>
          <w:b/>
          <w:lang w:val="es-ES" w:eastAsia="es-ES"/>
        </w:rPr>
        <w:t>BIBLIOGRAFÍA PARA LA REALIZACIÓN DEL PROYECTO DOCENTE</w:t>
      </w:r>
    </w:p>
    <w:p w14:paraId="33FCCA58" w14:textId="7F8E443E" w:rsidR="001E3F6D" w:rsidRPr="001E3F6D" w:rsidRDefault="001E3F6D" w:rsidP="001E3F6D">
      <w:pPr>
        <w:widowControl w:val="0"/>
        <w:autoSpaceDE w:val="0"/>
        <w:autoSpaceDN w:val="0"/>
        <w:adjustRightInd w:val="0"/>
        <w:spacing w:after="0"/>
        <w:jc w:val="right"/>
        <w:rPr>
          <w:rFonts w:asciiTheme="majorHAnsi" w:eastAsiaTheme="minorEastAsia" w:hAnsiTheme="majorHAnsi" w:cs="Helvetica"/>
          <w:lang w:val="es-ES" w:eastAsia="es-ES"/>
        </w:rPr>
      </w:pPr>
      <w:r w:rsidRPr="001E3F6D">
        <w:rPr>
          <w:rFonts w:asciiTheme="majorHAnsi" w:eastAsiaTheme="minorEastAsia" w:hAnsiTheme="majorHAnsi" w:cs="Helvetica"/>
          <w:lang w:val="es-ES" w:eastAsia="es-ES"/>
        </w:rPr>
        <w:t>Bernal Agudo, José Luis</w:t>
      </w:r>
    </w:p>
    <w:p w14:paraId="0FDCE973" w14:textId="3D6AF58A" w:rsidR="001E3F6D" w:rsidRDefault="001E3F6D" w:rsidP="001E3F6D">
      <w:pPr>
        <w:widowControl w:val="0"/>
        <w:autoSpaceDE w:val="0"/>
        <w:autoSpaceDN w:val="0"/>
        <w:adjustRightInd w:val="0"/>
        <w:spacing w:after="0"/>
        <w:jc w:val="right"/>
        <w:rPr>
          <w:rFonts w:asciiTheme="majorHAnsi" w:eastAsiaTheme="minorEastAsia" w:hAnsiTheme="majorHAnsi" w:cs="Helvetica"/>
          <w:lang w:val="es-ES" w:eastAsia="es-ES"/>
        </w:rPr>
      </w:pPr>
      <w:r w:rsidRPr="001E3F6D">
        <w:rPr>
          <w:rFonts w:asciiTheme="majorHAnsi" w:eastAsiaTheme="minorEastAsia" w:hAnsiTheme="majorHAnsi" w:cs="Helvetica"/>
          <w:lang w:val="es-ES" w:eastAsia="es-ES"/>
        </w:rPr>
        <w:t>Universidad Zaragoza</w:t>
      </w:r>
    </w:p>
    <w:p w14:paraId="379EA5BE" w14:textId="5C493447" w:rsidR="001E3F6D" w:rsidRPr="001E3F6D" w:rsidRDefault="001E3F6D" w:rsidP="001E3F6D">
      <w:pPr>
        <w:widowControl w:val="0"/>
        <w:autoSpaceDE w:val="0"/>
        <w:autoSpaceDN w:val="0"/>
        <w:adjustRightInd w:val="0"/>
        <w:spacing w:after="0"/>
        <w:jc w:val="right"/>
        <w:rPr>
          <w:rFonts w:asciiTheme="majorHAnsi" w:eastAsiaTheme="minorEastAsia" w:hAnsiTheme="majorHAnsi" w:cs="Helvetica"/>
          <w:lang w:val="es-ES" w:eastAsia="es-ES"/>
        </w:rPr>
      </w:pPr>
      <w:r>
        <w:rPr>
          <w:rFonts w:asciiTheme="majorHAnsi" w:eastAsiaTheme="minorEastAsia" w:hAnsiTheme="majorHAnsi" w:cs="Helvetica"/>
          <w:lang w:val="es-ES" w:eastAsia="es-ES"/>
        </w:rPr>
        <w:t>jbernal@unizar.es</w:t>
      </w:r>
    </w:p>
    <w:p w14:paraId="7AEC04C3" w14:textId="77777777" w:rsidR="00D37A3A" w:rsidRDefault="00D37A3A" w:rsidP="00EC380C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Theme="majorHAnsi" w:eastAsiaTheme="minorEastAsia" w:hAnsiTheme="majorHAnsi" w:cs="Helvetica"/>
          <w:b/>
          <w:sz w:val="20"/>
          <w:szCs w:val="20"/>
          <w:lang w:val="es-ES" w:eastAsia="es-ES"/>
        </w:rPr>
      </w:pPr>
    </w:p>
    <w:p w14:paraId="3C21F523" w14:textId="77777777" w:rsidR="001E3F6D" w:rsidRPr="00163229" w:rsidRDefault="001E3F6D" w:rsidP="00EC380C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Theme="majorHAnsi" w:eastAsiaTheme="minorEastAsia" w:hAnsiTheme="majorHAnsi" w:cs="Helvetica"/>
          <w:b/>
          <w:sz w:val="20"/>
          <w:szCs w:val="20"/>
          <w:lang w:val="es-ES" w:eastAsia="es-ES"/>
        </w:rPr>
      </w:pPr>
    </w:p>
    <w:p w14:paraId="32DFAD1C" w14:textId="32BF1B26" w:rsidR="00163229" w:rsidRPr="00163229" w:rsidRDefault="00163229" w:rsidP="001632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proofErr w:type="spellStart"/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Bain</w:t>
      </w:r>
      <w:proofErr w:type="spellEnd"/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 xml:space="preserve">, Ken (2007): </w:t>
      </w:r>
      <w:r w:rsidRPr="00163229">
        <w:rPr>
          <w:rFonts w:asciiTheme="majorHAnsi" w:eastAsiaTheme="minorEastAsia" w:hAnsiTheme="majorHAnsi" w:cs="Helvetica"/>
          <w:i/>
          <w:iCs/>
          <w:color w:val="000000" w:themeColor="text1"/>
          <w:sz w:val="20"/>
          <w:szCs w:val="20"/>
          <w:lang w:val="es-ES" w:eastAsia="es-ES"/>
        </w:rPr>
        <w:t>Lo que hacen los mejores profesores universitarios</w:t>
      </w:r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 xml:space="preserve">.  Valencia: </w:t>
      </w:r>
      <w:proofErr w:type="spellStart"/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Publicacions</w:t>
      </w:r>
      <w:proofErr w:type="spellEnd"/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 xml:space="preserve"> de la </w:t>
      </w:r>
      <w:proofErr w:type="spellStart"/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Universitat</w:t>
      </w:r>
      <w:proofErr w:type="spellEnd"/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 xml:space="preserve"> de Valencia.</w:t>
      </w:r>
    </w:p>
    <w:p w14:paraId="1CCB0085" w14:textId="1ADAE9C1" w:rsidR="00163229" w:rsidRPr="00163229" w:rsidRDefault="001E3F6D" w:rsidP="00163229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hyperlink r:id="rId6" w:history="1">
        <w:r w:rsidR="00163229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http://books.google.es/books/about/Lo_que_hacen_los_mejores_profesores_de_u.html?id=Jf2LHxIIQZMC</w:t>
        </w:r>
      </w:hyperlink>
    </w:p>
    <w:p w14:paraId="39B57673" w14:textId="1625F436" w:rsidR="00163229" w:rsidRPr="00E66D34" w:rsidRDefault="00163229" w:rsidP="00E66D3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709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proofErr w:type="spellStart"/>
      <w:r w:rsidRPr="00E66D34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Biggs</w:t>
      </w:r>
      <w:proofErr w:type="spellEnd"/>
      <w:r w:rsidRPr="00E66D34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 xml:space="preserve">, J. (2004): </w:t>
      </w:r>
      <w:r w:rsidRPr="00E66D34">
        <w:rPr>
          <w:rFonts w:asciiTheme="majorHAnsi" w:eastAsiaTheme="minorEastAsia" w:hAnsiTheme="majorHAnsi" w:cs="Helvetica"/>
          <w:i/>
          <w:iCs/>
          <w:color w:val="000000" w:themeColor="text1"/>
          <w:sz w:val="20"/>
          <w:szCs w:val="20"/>
          <w:lang w:val="es-ES" w:eastAsia="es-ES"/>
        </w:rPr>
        <w:t>Calidad del aprendizaje universitario</w:t>
      </w:r>
      <w:r w:rsidRPr="00E66D34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. Madrid: Narcea.</w:t>
      </w:r>
    </w:p>
    <w:p w14:paraId="64D425A7" w14:textId="39F6720B" w:rsidR="00163229" w:rsidRPr="00163229" w:rsidRDefault="001E3F6D" w:rsidP="00163229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hyperlink r:id="rId7" w:anchor="v=onepage&amp;q&amp;f=false" w:history="1">
        <w:r w:rsidR="00163229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http://books.google.es/books?id=iMYeIgA_JJsC&amp;printsec=frontcover&amp;dq=%E2%80%A2%09BIGGS,+J.+%282004%29:+Calidad+del+aprendizaje+universitario&amp;hl=es&amp;sa=X&amp;ei=X8d5U_PcF86S0QXZjYHADQ&amp;ved=0CDIQ6AEwAA#v=onepage&amp;q&amp;f=false</w:t>
        </w:r>
      </w:hyperlink>
    </w:p>
    <w:p w14:paraId="7CE2BC31" w14:textId="77777777" w:rsidR="000124AE" w:rsidRPr="00163229" w:rsidRDefault="000124AE" w:rsidP="00F76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_tradnl" w:eastAsia="es-ES"/>
        </w:rPr>
      </w:pPr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val="es-ES" w:eastAsia="es-ES"/>
        </w:rPr>
        <w:t>Comisión de expertos. (2013)</w:t>
      </w:r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_tradnl" w:eastAsia="es-ES"/>
        </w:rPr>
        <w:t xml:space="preserve">: </w:t>
      </w:r>
      <w:r w:rsidRPr="00163229">
        <w:rPr>
          <w:rFonts w:asciiTheme="majorHAnsi" w:eastAsiaTheme="minorEastAsia" w:hAnsiTheme="majorHAnsi" w:cs="Helvetica"/>
          <w:bCs/>
          <w:i/>
          <w:color w:val="000000" w:themeColor="text1"/>
          <w:sz w:val="20"/>
          <w:szCs w:val="20"/>
          <w:lang w:val="es-ES" w:eastAsia="es-ES"/>
        </w:rPr>
        <w:t>Propuestas para la reforma y mejora de la calidad y mejora del sistema universitario español</w:t>
      </w:r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_tradnl" w:eastAsia="es-ES"/>
        </w:rPr>
        <w:t>. Informe.</w:t>
      </w:r>
    </w:p>
    <w:p w14:paraId="51B478AC" w14:textId="094C6E19" w:rsidR="00142E8D" w:rsidRPr="00163229" w:rsidRDefault="001E3F6D" w:rsidP="00F76DAF">
      <w:pPr>
        <w:widowControl w:val="0"/>
        <w:autoSpaceDE w:val="0"/>
        <w:autoSpaceDN w:val="0"/>
        <w:adjustRightInd w:val="0"/>
        <w:spacing w:before="120" w:after="0"/>
        <w:ind w:left="720"/>
        <w:rPr>
          <w:rFonts w:asciiTheme="majorHAnsi" w:eastAsiaTheme="minorEastAsia" w:hAnsiTheme="majorHAnsi" w:cs="Helvetica"/>
          <w:i/>
          <w:color w:val="000000" w:themeColor="text1"/>
          <w:sz w:val="20"/>
          <w:szCs w:val="20"/>
          <w:lang w:val="es-ES_tradnl" w:eastAsia="es-ES"/>
        </w:rPr>
      </w:pPr>
      <w:hyperlink r:id="rId8" w:history="1">
        <w:r w:rsidR="00142E8D" w:rsidRPr="00163229">
          <w:rPr>
            <w:rStyle w:val="Hipervnculo"/>
            <w:rFonts w:asciiTheme="majorHAnsi" w:eastAsiaTheme="minorEastAsia" w:hAnsiTheme="majorHAnsi" w:cs="Helvetica"/>
            <w:i/>
            <w:sz w:val="20"/>
            <w:szCs w:val="20"/>
            <w:lang w:val="es-ES_tradnl" w:eastAsia="es-ES"/>
          </w:rPr>
          <w:t>http://www.mecd.gob.es/prensa-mecd/dms/mecd/servicios-al-ciudadano-mecd/participacion-publica/sistemauniversitario/propuestas-reforma.pdf</w:t>
        </w:r>
      </w:hyperlink>
    </w:p>
    <w:p w14:paraId="4CB21D10" w14:textId="744D0F77" w:rsidR="00F76DAF" w:rsidRPr="00F76DAF" w:rsidRDefault="00F76DAF" w:rsidP="00F76DAF">
      <w:pPr>
        <w:pStyle w:val="Prrafodelista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0"/>
          <w:szCs w:val="20"/>
          <w:lang w:val="es-ES" w:eastAsia="es-ES"/>
        </w:rPr>
      </w:pPr>
      <w:r w:rsidRPr="00F76DAF">
        <w:rPr>
          <w:rFonts w:asciiTheme="majorHAnsi" w:hAnsiTheme="majorHAnsi"/>
          <w:sz w:val="20"/>
          <w:szCs w:val="20"/>
          <w:lang w:val="es-ES" w:eastAsia="es-ES"/>
        </w:rPr>
        <w:t xml:space="preserve">Comisión para la renovación de las metodologías educativas en la universidad (2006): </w:t>
      </w:r>
      <w:r w:rsidRPr="00F76DAF">
        <w:rPr>
          <w:rFonts w:asciiTheme="majorHAnsi" w:hAnsiTheme="majorHAnsi"/>
          <w:i/>
          <w:sz w:val="20"/>
          <w:szCs w:val="20"/>
          <w:lang w:val="es-ES" w:eastAsia="es-ES"/>
        </w:rPr>
        <w:t>Propuestas para la renovación de las metodologías educativas en la Universidad</w:t>
      </w:r>
      <w:r w:rsidRPr="00F76DAF">
        <w:rPr>
          <w:rFonts w:asciiTheme="majorHAnsi" w:hAnsiTheme="majorHAnsi"/>
          <w:sz w:val="20"/>
          <w:szCs w:val="20"/>
          <w:lang w:val="es-ES" w:eastAsia="es-ES"/>
        </w:rPr>
        <w:t>. Madrid: MEC</w:t>
      </w:r>
    </w:p>
    <w:p w14:paraId="46AC6E3D" w14:textId="1CA462A5" w:rsidR="00F76DAF" w:rsidRDefault="001E3F6D" w:rsidP="00F76DAF">
      <w:pPr>
        <w:widowControl w:val="0"/>
        <w:autoSpaceDE w:val="0"/>
        <w:autoSpaceDN w:val="0"/>
        <w:adjustRightInd w:val="0"/>
        <w:spacing w:before="120" w:after="120"/>
        <w:ind w:left="709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hyperlink r:id="rId9" w:history="1">
        <w:r w:rsidR="00F76DAF" w:rsidRPr="00862225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http://www.industriales.upct.es/pdfs/propuesta_renovacion_crue.pdf</w:t>
        </w:r>
      </w:hyperlink>
    </w:p>
    <w:p w14:paraId="5C78F841" w14:textId="3D3C2035" w:rsidR="00E66D34" w:rsidRPr="00F76DAF" w:rsidRDefault="00F76DAF" w:rsidP="00F76DA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 w:val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r w:rsidRPr="00F76DAF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val="es-ES" w:eastAsia="es-ES"/>
        </w:rPr>
        <w:t xml:space="preserve">Conferencia Mundial de Educación Superior (2009). </w:t>
      </w:r>
      <w:r w:rsidRPr="00F76DAF">
        <w:rPr>
          <w:rFonts w:asciiTheme="majorHAnsi" w:eastAsiaTheme="minorEastAsia" w:hAnsiTheme="majorHAnsi" w:cs="Helvetica"/>
          <w:bCs/>
          <w:i/>
          <w:iCs/>
          <w:color w:val="000000" w:themeColor="text1"/>
          <w:sz w:val="20"/>
          <w:szCs w:val="20"/>
          <w:lang w:val="es-ES" w:eastAsia="es-ES"/>
        </w:rPr>
        <w:t>Las Nuevas Dinámicas de la Educación Superior y de la Investigación para el Cambio Social y el Desarrollo</w:t>
      </w:r>
      <w:r>
        <w:rPr>
          <w:rFonts w:asciiTheme="majorHAnsi" w:eastAsiaTheme="minorEastAsia" w:hAnsiTheme="majorHAnsi" w:cs="Helvetica"/>
          <w:bCs/>
          <w:i/>
          <w:iCs/>
          <w:color w:val="000000" w:themeColor="text1"/>
          <w:sz w:val="20"/>
          <w:szCs w:val="20"/>
          <w:lang w:val="es-ES" w:eastAsia="es-ES"/>
        </w:rPr>
        <w:t xml:space="preserve">. </w:t>
      </w:r>
      <w:r w:rsidRPr="00F76DAF">
        <w:rPr>
          <w:rFonts w:asciiTheme="majorHAnsi" w:eastAsiaTheme="minorEastAsia" w:hAnsiTheme="majorHAnsi" w:cs="Helvetica"/>
          <w:bCs/>
          <w:iCs/>
          <w:color w:val="000000" w:themeColor="text1"/>
          <w:sz w:val="20"/>
          <w:szCs w:val="20"/>
          <w:lang w:val="es-ES" w:eastAsia="es-ES"/>
        </w:rPr>
        <w:t>UNESCO.</w:t>
      </w:r>
    </w:p>
    <w:p w14:paraId="2F128F8D" w14:textId="6C8A6F04" w:rsidR="00E66D34" w:rsidRDefault="001E3F6D" w:rsidP="00E66D34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hyperlink r:id="rId10" w:history="1">
        <w:r w:rsidR="00E66D34" w:rsidRPr="00862225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http://www.unesco.org/education/WCHE2009/comunicado_es.pdf</w:t>
        </w:r>
      </w:hyperlink>
    </w:p>
    <w:p w14:paraId="4E72C43E" w14:textId="55F7580D" w:rsidR="00163229" w:rsidRPr="00E66D34" w:rsidRDefault="00163229" w:rsidP="00E66D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proofErr w:type="spellStart"/>
      <w:r w:rsidRPr="00E66D34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Finkel</w:t>
      </w:r>
      <w:proofErr w:type="spellEnd"/>
      <w:r w:rsidRPr="00E66D34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 xml:space="preserve">, Don (2000): </w:t>
      </w:r>
      <w:r w:rsidRPr="00E66D34">
        <w:rPr>
          <w:rFonts w:asciiTheme="majorHAnsi" w:eastAsiaTheme="minorEastAsia" w:hAnsiTheme="majorHAnsi" w:cs="Helvetica"/>
          <w:i/>
          <w:iCs/>
          <w:color w:val="000000" w:themeColor="text1"/>
          <w:sz w:val="20"/>
          <w:szCs w:val="20"/>
          <w:lang w:val="es-ES" w:eastAsia="es-ES"/>
        </w:rPr>
        <w:t>Dar clase con la boca cerrada</w:t>
      </w:r>
      <w:r w:rsidRPr="00E66D34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 xml:space="preserve">. Valencia: </w:t>
      </w:r>
      <w:proofErr w:type="spellStart"/>
      <w:r w:rsidRPr="00E66D34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Publicacions</w:t>
      </w:r>
      <w:proofErr w:type="spellEnd"/>
      <w:r w:rsidRPr="00E66D34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 xml:space="preserve"> de la </w:t>
      </w:r>
      <w:proofErr w:type="spellStart"/>
      <w:r w:rsidRPr="00E66D34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Universitat</w:t>
      </w:r>
      <w:proofErr w:type="spellEnd"/>
      <w:r w:rsidRPr="00E66D34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 xml:space="preserve"> de Valencia.</w:t>
      </w:r>
    </w:p>
    <w:p w14:paraId="72FF7895" w14:textId="23DF5A50" w:rsidR="00163229" w:rsidRPr="00163229" w:rsidRDefault="00163229" w:rsidP="00F76DAF">
      <w:pPr>
        <w:pStyle w:val="Prrafodelista"/>
        <w:widowControl w:val="0"/>
        <w:autoSpaceDE w:val="0"/>
        <w:autoSpaceDN w:val="0"/>
        <w:adjustRightInd w:val="0"/>
        <w:spacing w:before="120" w:after="0"/>
        <w:contextualSpacing w:val="0"/>
        <w:rPr>
          <w:rFonts w:asciiTheme="majorHAnsi" w:eastAsiaTheme="minorEastAsia" w:hAnsiTheme="majorHAnsi" w:cs="Helvetica"/>
          <w:sz w:val="20"/>
          <w:szCs w:val="20"/>
          <w:lang w:val="es-ES" w:eastAsia="es-ES"/>
        </w:rPr>
      </w:pPr>
      <w:hyperlink r:id="rId11" w:history="1">
        <w:r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http://books.google.es/books?id=cD53PgAACAAJ&amp;dq=%E2%80%A2%09FINKEL,+DON+%282000%29:+Dar+clase+con+la+boca+cerrada&amp;hl=es&amp;sa=X&amp;ei=zMZ5U_mXMafC0QXkm4HgCA&amp;ved=0CDoQ6AEwAA</w:t>
        </w:r>
      </w:hyperlink>
    </w:p>
    <w:p w14:paraId="215AA26F" w14:textId="77777777" w:rsidR="000124AE" w:rsidRPr="00163229" w:rsidRDefault="000124AE" w:rsidP="00EC380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contextualSpacing w:val="0"/>
        <w:rPr>
          <w:rFonts w:asciiTheme="majorHAnsi" w:eastAsiaTheme="minorEastAsia" w:hAnsiTheme="majorHAnsi" w:cs="Helvetica"/>
          <w:sz w:val="20"/>
          <w:szCs w:val="20"/>
          <w:lang w:eastAsia="es-ES"/>
        </w:rPr>
      </w:pPr>
      <w:r w:rsidRPr="00163229">
        <w:rPr>
          <w:rFonts w:asciiTheme="majorHAnsi" w:eastAsiaTheme="minorEastAsia" w:hAnsiTheme="majorHAnsi" w:cs="Gotham-Book"/>
          <w:color w:val="000000" w:themeColor="text1"/>
          <w:sz w:val="20"/>
          <w:szCs w:val="20"/>
          <w:lang w:eastAsia="es-ES"/>
        </w:rPr>
        <w:t xml:space="preserve">High Level Group on the </w:t>
      </w:r>
      <w:proofErr w:type="spellStart"/>
      <w:r w:rsidRPr="00163229">
        <w:rPr>
          <w:rFonts w:asciiTheme="majorHAnsi" w:eastAsiaTheme="minorEastAsia" w:hAnsiTheme="majorHAnsi" w:cs="Gotham-Book"/>
          <w:color w:val="000000" w:themeColor="text1"/>
          <w:sz w:val="20"/>
          <w:szCs w:val="20"/>
          <w:lang w:eastAsia="es-ES"/>
        </w:rPr>
        <w:t>Modernisation</w:t>
      </w:r>
      <w:proofErr w:type="spellEnd"/>
      <w:r w:rsidRPr="00163229">
        <w:rPr>
          <w:rFonts w:asciiTheme="majorHAnsi" w:eastAsiaTheme="minorEastAsia" w:hAnsiTheme="majorHAnsi" w:cs="Gotham-Book"/>
          <w:color w:val="000000" w:themeColor="text1"/>
          <w:sz w:val="20"/>
          <w:szCs w:val="20"/>
          <w:lang w:eastAsia="es-ES"/>
        </w:rPr>
        <w:t xml:space="preserve"> of Higher Education (2013): </w:t>
      </w:r>
      <w:r w:rsidRPr="00163229">
        <w:rPr>
          <w:rFonts w:asciiTheme="majorHAnsi" w:eastAsiaTheme="minorEastAsia" w:hAnsiTheme="majorHAnsi" w:cs="Gotham-Light"/>
          <w:i/>
          <w:color w:val="000000" w:themeColor="text1"/>
          <w:sz w:val="20"/>
          <w:szCs w:val="20"/>
          <w:lang w:eastAsia="es-ES"/>
        </w:rPr>
        <w:t>Report to the European Commission on</w:t>
      </w:r>
      <w:r w:rsidRPr="00163229">
        <w:rPr>
          <w:rFonts w:asciiTheme="majorHAnsi" w:eastAsiaTheme="minorEastAsia" w:hAnsiTheme="majorHAnsi" w:cs="Gotham-Book"/>
          <w:i/>
          <w:color w:val="000000" w:themeColor="text1"/>
          <w:sz w:val="20"/>
          <w:szCs w:val="20"/>
          <w:lang w:eastAsia="es-ES"/>
        </w:rPr>
        <w:t xml:space="preserve"> </w:t>
      </w:r>
      <w:r w:rsidRPr="00163229">
        <w:rPr>
          <w:rFonts w:asciiTheme="majorHAnsi" w:eastAsiaTheme="minorEastAsia" w:hAnsiTheme="majorHAnsi" w:cs="Gotham-Light"/>
          <w:i/>
          <w:color w:val="000000" w:themeColor="text1"/>
          <w:sz w:val="20"/>
          <w:szCs w:val="20"/>
          <w:lang w:eastAsia="es-ES"/>
        </w:rPr>
        <w:t>Improving the quality</w:t>
      </w:r>
      <w:r w:rsidRPr="00163229">
        <w:rPr>
          <w:rFonts w:asciiTheme="majorHAnsi" w:eastAsiaTheme="minorEastAsia" w:hAnsiTheme="majorHAnsi" w:cs="Gotham-Book"/>
          <w:i/>
          <w:color w:val="000000" w:themeColor="text1"/>
          <w:sz w:val="20"/>
          <w:szCs w:val="20"/>
          <w:lang w:eastAsia="es-ES"/>
        </w:rPr>
        <w:t xml:space="preserve"> </w:t>
      </w:r>
      <w:r w:rsidRPr="00163229">
        <w:rPr>
          <w:rFonts w:asciiTheme="majorHAnsi" w:eastAsiaTheme="minorEastAsia" w:hAnsiTheme="majorHAnsi" w:cs="Gotham-Light"/>
          <w:i/>
          <w:color w:val="000000" w:themeColor="text1"/>
          <w:sz w:val="20"/>
          <w:szCs w:val="20"/>
          <w:lang w:eastAsia="es-ES"/>
        </w:rPr>
        <w:t>of teaching and learning in</w:t>
      </w:r>
      <w:r w:rsidRPr="00163229">
        <w:rPr>
          <w:rFonts w:asciiTheme="majorHAnsi" w:eastAsiaTheme="minorEastAsia" w:hAnsiTheme="majorHAnsi" w:cs="Gotham-Book"/>
          <w:i/>
          <w:color w:val="000000" w:themeColor="text1"/>
          <w:sz w:val="20"/>
          <w:szCs w:val="20"/>
          <w:lang w:eastAsia="es-ES"/>
        </w:rPr>
        <w:t xml:space="preserve"> </w:t>
      </w:r>
      <w:r w:rsidRPr="00163229">
        <w:rPr>
          <w:rFonts w:asciiTheme="majorHAnsi" w:eastAsiaTheme="minorEastAsia" w:hAnsiTheme="majorHAnsi" w:cs="Gotham-Light"/>
          <w:i/>
          <w:color w:val="000000" w:themeColor="text1"/>
          <w:sz w:val="20"/>
          <w:szCs w:val="20"/>
          <w:lang w:eastAsia="es-ES"/>
        </w:rPr>
        <w:t xml:space="preserve">Europe’s higher education institutions. </w:t>
      </w:r>
      <w:r w:rsidRPr="00163229">
        <w:rPr>
          <w:rFonts w:asciiTheme="majorHAnsi" w:eastAsiaTheme="minorEastAsia" w:hAnsiTheme="majorHAnsi" w:cs="ECSquareSansPro-Regular"/>
          <w:sz w:val="20"/>
          <w:szCs w:val="20"/>
          <w:lang w:eastAsia="es-ES"/>
        </w:rPr>
        <w:t>Luxembourg: Publications Office of the European Union.</w:t>
      </w:r>
    </w:p>
    <w:p w14:paraId="4BE88490" w14:textId="305D4319" w:rsidR="00142E8D" w:rsidRPr="00163229" w:rsidRDefault="001E3F6D" w:rsidP="00EC380C">
      <w:pPr>
        <w:pStyle w:val="Prrafodelista"/>
        <w:widowControl w:val="0"/>
        <w:autoSpaceDE w:val="0"/>
        <w:autoSpaceDN w:val="0"/>
        <w:adjustRightInd w:val="0"/>
        <w:spacing w:before="120" w:after="0"/>
        <w:contextualSpacing w:val="0"/>
        <w:rPr>
          <w:rFonts w:asciiTheme="majorHAnsi" w:eastAsiaTheme="minorEastAsia" w:hAnsiTheme="majorHAnsi" w:cs="Helvetica"/>
          <w:sz w:val="20"/>
          <w:szCs w:val="20"/>
          <w:lang w:eastAsia="es-ES"/>
        </w:rPr>
      </w:pPr>
      <w:hyperlink r:id="rId12" w:history="1">
        <w:r w:rsidR="00142E8D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eastAsia="es-ES"/>
          </w:rPr>
          <w:t>http://ec.europa.eu/education/library/reports/modernisation_en.pdf</w:t>
        </w:r>
      </w:hyperlink>
    </w:p>
    <w:p w14:paraId="2D162EE7" w14:textId="32325677" w:rsidR="000124AE" w:rsidRPr="00163229" w:rsidRDefault="000124AE" w:rsidP="00EC380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contextualSpacing w:val="0"/>
        <w:rPr>
          <w:rFonts w:asciiTheme="majorHAnsi" w:eastAsiaTheme="minorEastAsia" w:hAnsiTheme="majorHAnsi" w:cs="Helvetica"/>
          <w:sz w:val="20"/>
          <w:szCs w:val="20"/>
          <w:lang w:eastAsia="es-ES"/>
        </w:rPr>
      </w:pPr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val="es-ES" w:eastAsia="es-ES"/>
        </w:rPr>
        <w:t xml:space="preserve">Informe </w:t>
      </w:r>
      <w:proofErr w:type="spellStart"/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val="es-ES" w:eastAsia="es-ES"/>
        </w:rPr>
        <w:t>Eurydice</w:t>
      </w:r>
      <w:proofErr w:type="spellEnd"/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val="es-ES" w:eastAsia="es-ES"/>
        </w:rPr>
        <w:t xml:space="preserve"> (2011): </w:t>
      </w:r>
      <w:r w:rsidRPr="00163229">
        <w:rPr>
          <w:rFonts w:asciiTheme="majorHAnsi" w:eastAsiaTheme="minorEastAsia" w:hAnsiTheme="majorHAnsi" w:cs="Helvetica"/>
          <w:bCs/>
          <w:i/>
          <w:color w:val="000000" w:themeColor="text1"/>
          <w:sz w:val="20"/>
          <w:szCs w:val="20"/>
          <w:lang w:val="es-ES" w:eastAsia="es-ES"/>
        </w:rPr>
        <w:t xml:space="preserve">La educación superior </w:t>
      </w:r>
      <w:r w:rsidRPr="00163229">
        <w:rPr>
          <w:rFonts w:asciiTheme="majorHAnsi" w:eastAsiaTheme="minorEastAsia" w:hAnsiTheme="majorHAnsi" w:cs="Helvetica"/>
          <w:bCs/>
          <w:i/>
          <w:color w:val="000000" w:themeColor="text1"/>
          <w:sz w:val="20"/>
          <w:szCs w:val="20"/>
          <w:lang w:val="da-DK" w:eastAsia="es-ES"/>
        </w:rPr>
        <w:t>en Europa 2010</w:t>
      </w:r>
      <w:r w:rsidRPr="00163229">
        <w:rPr>
          <w:rFonts w:asciiTheme="majorHAnsi" w:eastAsiaTheme="minorEastAsia" w:hAnsiTheme="majorHAnsi" w:cs="Helvetica"/>
          <w:i/>
          <w:color w:val="000000" w:themeColor="text1"/>
          <w:sz w:val="20"/>
          <w:szCs w:val="20"/>
          <w:lang w:val="es-ES_tradnl" w:eastAsia="es-ES"/>
        </w:rPr>
        <w:t xml:space="preserve">, </w:t>
      </w:r>
      <w:r w:rsidRPr="00163229">
        <w:rPr>
          <w:rFonts w:asciiTheme="majorHAnsi" w:eastAsiaTheme="minorEastAsia" w:hAnsiTheme="majorHAnsi" w:cs="Helvetica"/>
          <w:bCs/>
          <w:i/>
          <w:color w:val="000000" w:themeColor="text1"/>
          <w:sz w:val="20"/>
          <w:szCs w:val="20"/>
          <w:lang w:val="da-DK" w:eastAsia="es-ES"/>
        </w:rPr>
        <w:t>el impacto del proceso de Bolonia</w:t>
      </w:r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val="es-ES" w:eastAsia="es-ES"/>
        </w:rPr>
        <w:t>. Madrid, Secretaría General Técnica Ministerio de Educación.</w:t>
      </w:r>
    </w:p>
    <w:p w14:paraId="181038E5" w14:textId="64840667" w:rsidR="00142E8D" w:rsidRPr="00163229" w:rsidRDefault="001E3F6D" w:rsidP="00EC380C">
      <w:pPr>
        <w:pStyle w:val="Prrafodelista"/>
        <w:widowControl w:val="0"/>
        <w:autoSpaceDE w:val="0"/>
        <w:autoSpaceDN w:val="0"/>
        <w:adjustRightInd w:val="0"/>
        <w:spacing w:before="120" w:after="0"/>
        <w:contextualSpacing w:val="0"/>
        <w:rPr>
          <w:rFonts w:asciiTheme="majorHAnsi" w:eastAsiaTheme="minorEastAsia" w:hAnsiTheme="majorHAnsi" w:cs="Helvetica"/>
          <w:sz w:val="20"/>
          <w:szCs w:val="20"/>
          <w:lang w:eastAsia="es-ES"/>
        </w:rPr>
      </w:pPr>
      <w:hyperlink r:id="rId13" w:history="1">
        <w:r w:rsidR="00142E8D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eastAsia="es-ES"/>
          </w:rPr>
          <w:t>http://eacea.ec.europa.eu/education/eurydice/documents/thematic_reports/122ES.pdf</w:t>
        </w:r>
      </w:hyperlink>
    </w:p>
    <w:p w14:paraId="47121EB2" w14:textId="77777777" w:rsidR="000124AE" w:rsidRPr="00163229" w:rsidRDefault="000124AE" w:rsidP="00EC38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eastAsia="es-ES"/>
        </w:rPr>
      </w:pPr>
      <w:proofErr w:type="spellStart"/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val="en-GB" w:eastAsia="es-ES"/>
        </w:rPr>
        <w:t>Informe</w:t>
      </w:r>
      <w:proofErr w:type="spellEnd"/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val="en-GB" w:eastAsia="es-ES"/>
        </w:rPr>
        <w:t xml:space="preserve"> Eurydice (2012): </w:t>
      </w:r>
      <w:r w:rsidRPr="00163229">
        <w:rPr>
          <w:rFonts w:asciiTheme="majorHAnsi" w:eastAsiaTheme="minorEastAsia" w:hAnsiTheme="majorHAnsi" w:cs="Helvetica"/>
          <w:bCs/>
          <w:i/>
          <w:color w:val="000000" w:themeColor="text1"/>
          <w:sz w:val="20"/>
          <w:szCs w:val="20"/>
          <w:lang w:val="en-GB" w:eastAsia="es-ES"/>
        </w:rPr>
        <w:t>The European Higher Education Area in 2012: Bologna Process Implementation Report</w:t>
      </w:r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eastAsia="es-ES"/>
        </w:rPr>
        <w:t xml:space="preserve">. </w:t>
      </w:r>
      <w:proofErr w:type="spellStart"/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eastAsia="es-ES"/>
        </w:rPr>
        <w:t>Bruselas</w:t>
      </w:r>
      <w:proofErr w:type="spellEnd"/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eastAsia="es-ES"/>
        </w:rPr>
        <w:t xml:space="preserve">, </w:t>
      </w:r>
      <w:r w:rsidRPr="00163229">
        <w:rPr>
          <w:rFonts w:asciiTheme="majorHAnsi" w:eastAsiaTheme="minorEastAsia" w:hAnsiTheme="majorHAnsi" w:cs="Arial"/>
          <w:color w:val="000000" w:themeColor="text1"/>
          <w:sz w:val="20"/>
          <w:szCs w:val="20"/>
          <w:lang w:eastAsia="es-ES"/>
        </w:rPr>
        <w:t>Education, Audiovisual and Culture Executive Agency P9 Eurydice</w:t>
      </w:r>
    </w:p>
    <w:p w14:paraId="37F67AB4" w14:textId="70F8894D" w:rsidR="00142E8D" w:rsidRPr="00163229" w:rsidRDefault="001E3F6D" w:rsidP="00EC380C">
      <w:pPr>
        <w:widowControl w:val="0"/>
        <w:autoSpaceDE w:val="0"/>
        <w:autoSpaceDN w:val="0"/>
        <w:adjustRightInd w:val="0"/>
        <w:spacing w:before="120" w:after="0"/>
        <w:ind w:left="7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eastAsia="es-ES"/>
        </w:rPr>
      </w:pPr>
      <w:hyperlink r:id="rId14" w:history="1">
        <w:r w:rsidR="00D11E0C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eastAsia="es-ES"/>
          </w:rPr>
          <w:t>http://www.ehea.info/Uploads/%281%29/Bologna%20Process%20Implementation%20Report.pdf</w:t>
        </w:r>
      </w:hyperlink>
    </w:p>
    <w:p w14:paraId="1D307725" w14:textId="77777777" w:rsidR="000124AE" w:rsidRPr="00163229" w:rsidRDefault="000124AE" w:rsidP="00EC380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14" w:hanging="357"/>
        <w:contextualSpacing w:val="0"/>
        <w:rPr>
          <w:rFonts w:asciiTheme="majorHAnsi" w:eastAsiaTheme="minorEastAsia" w:hAnsiTheme="majorHAnsi" w:cs="Helvetica"/>
          <w:sz w:val="20"/>
          <w:szCs w:val="20"/>
          <w:lang w:val="es-ES" w:eastAsia="es-ES"/>
        </w:rPr>
      </w:pPr>
      <w:r w:rsidRPr="00163229">
        <w:rPr>
          <w:rFonts w:asciiTheme="majorHAnsi" w:eastAsiaTheme="minorEastAsia" w:hAnsiTheme="majorHAnsi" w:cs="Helvetica"/>
          <w:sz w:val="20"/>
          <w:szCs w:val="20"/>
          <w:lang w:val="es-ES" w:eastAsia="es-ES"/>
        </w:rPr>
        <w:t xml:space="preserve">Martínez, M.C.; Branda, S. y Porta, L. (2013): “¿Cómo </w:t>
      </w:r>
      <w:proofErr w:type="spellStart"/>
      <w:r w:rsidRPr="00163229">
        <w:rPr>
          <w:rFonts w:asciiTheme="majorHAnsi" w:eastAsiaTheme="minorEastAsia" w:hAnsiTheme="majorHAnsi" w:cs="Helvetica"/>
          <w:sz w:val="20"/>
          <w:szCs w:val="20"/>
          <w:lang w:val="es-ES" w:eastAsia="es-ES"/>
        </w:rPr>
        <w:t>eneñan</w:t>
      </w:r>
      <w:proofErr w:type="spellEnd"/>
      <w:r w:rsidRPr="00163229">
        <w:rPr>
          <w:rFonts w:asciiTheme="majorHAnsi" w:eastAsiaTheme="minorEastAsia" w:hAnsiTheme="majorHAnsi" w:cs="Helvetica"/>
          <w:sz w:val="20"/>
          <w:szCs w:val="20"/>
          <w:lang w:val="es-ES" w:eastAsia="es-ES"/>
        </w:rPr>
        <w:t xml:space="preserve"> los buenos docentes?-Fundamentos y valores”. </w:t>
      </w:r>
      <w:proofErr w:type="spellStart"/>
      <w:r w:rsidRPr="00163229">
        <w:rPr>
          <w:rFonts w:asciiTheme="majorHAnsi" w:eastAsiaTheme="minorEastAsia" w:hAnsiTheme="majorHAnsi" w:cs="Helvetica"/>
          <w:i/>
          <w:iCs/>
          <w:sz w:val="20"/>
          <w:szCs w:val="20"/>
          <w:lang w:val="es-ES" w:eastAsia="es-ES"/>
        </w:rPr>
        <w:t>Journal</w:t>
      </w:r>
      <w:proofErr w:type="spellEnd"/>
      <w:r w:rsidRPr="00163229">
        <w:rPr>
          <w:rFonts w:asciiTheme="majorHAnsi" w:eastAsiaTheme="minorEastAsia" w:hAnsiTheme="majorHAnsi" w:cs="Helvetica"/>
          <w:i/>
          <w:iCs/>
          <w:sz w:val="20"/>
          <w:szCs w:val="20"/>
          <w:lang w:val="es-ES" w:eastAsia="es-ES"/>
        </w:rPr>
        <w:t xml:space="preserve"> </w:t>
      </w:r>
      <w:proofErr w:type="spellStart"/>
      <w:r w:rsidRPr="00163229">
        <w:rPr>
          <w:rFonts w:asciiTheme="majorHAnsi" w:eastAsiaTheme="minorEastAsia" w:hAnsiTheme="majorHAnsi" w:cs="Helvetica"/>
          <w:i/>
          <w:iCs/>
          <w:sz w:val="20"/>
          <w:szCs w:val="20"/>
          <w:lang w:val="es-ES" w:eastAsia="es-ES"/>
        </w:rPr>
        <w:t>for</w:t>
      </w:r>
      <w:proofErr w:type="spellEnd"/>
      <w:r w:rsidRPr="00163229">
        <w:rPr>
          <w:rFonts w:asciiTheme="majorHAnsi" w:eastAsiaTheme="minorEastAsia" w:hAnsiTheme="majorHAnsi" w:cs="Helvetica"/>
          <w:i/>
          <w:iCs/>
          <w:sz w:val="20"/>
          <w:szCs w:val="20"/>
          <w:lang w:val="es-ES" w:eastAsia="es-ES"/>
        </w:rPr>
        <w:t xml:space="preserve"> </w:t>
      </w:r>
      <w:proofErr w:type="spellStart"/>
      <w:r w:rsidRPr="00163229">
        <w:rPr>
          <w:rFonts w:asciiTheme="majorHAnsi" w:eastAsiaTheme="minorEastAsia" w:hAnsiTheme="majorHAnsi" w:cs="Helvetica"/>
          <w:i/>
          <w:iCs/>
          <w:sz w:val="20"/>
          <w:szCs w:val="20"/>
          <w:lang w:val="es-ES" w:eastAsia="es-ES"/>
        </w:rPr>
        <w:t>Educators</w:t>
      </w:r>
      <w:proofErr w:type="spellEnd"/>
      <w:r w:rsidRPr="00163229">
        <w:rPr>
          <w:rFonts w:asciiTheme="majorHAnsi" w:eastAsiaTheme="minorEastAsia" w:hAnsiTheme="majorHAnsi" w:cs="Helvetica"/>
          <w:i/>
          <w:iCs/>
          <w:sz w:val="20"/>
          <w:szCs w:val="20"/>
          <w:lang w:val="es-ES" w:eastAsia="es-ES"/>
        </w:rPr>
        <w:t xml:space="preserve">, </w:t>
      </w:r>
      <w:proofErr w:type="spellStart"/>
      <w:r w:rsidRPr="00163229">
        <w:rPr>
          <w:rFonts w:asciiTheme="majorHAnsi" w:eastAsiaTheme="minorEastAsia" w:hAnsiTheme="majorHAnsi" w:cs="Helvetica"/>
          <w:i/>
          <w:iCs/>
          <w:sz w:val="20"/>
          <w:szCs w:val="20"/>
          <w:lang w:val="es-ES" w:eastAsia="es-ES"/>
        </w:rPr>
        <w:t>Teachers</w:t>
      </w:r>
      <w:proofErr w:type="spellEnd"/>
      <w:r w:rsidRPr="00163229">
        <w:rPr>
          <w:rFonts w:asciiTheme="majorHAnsi" w:eastAsiaTheme="minorEastAsia" w:hAnsiTheme="majorHAnsi" w:cs="Helvetica"/>
          <w:i/>
          <w:iCs/>
          <w:sz w:val="20"/>
          <w:szCs w:val="20"/>
          <w:lang w:val="es-ES" w:eastAsia="es-ES"/>
        </w:rPr>
        <w:t xml:space="preserve"> and </w:t>
      </w:r>
      <w:proofErr w:type="spellStart"/>
      <w:r w:rsidRPr="00163229">
        <w:rPr>
          <w:rFonts w:asciiTheme="majorHAnsi" w:eastAsiaTheme="minorEastAsia" w:hAnsiTheme="majorHAnsi" w:cs="Helvetica"/>
          <w:i/>
          <w:iCs/>
          <w:sz w:val="20"/>
          <w:szCs w:val="20"/>
          <w:lang w:val="es-ES" w:eastAsia="es-ES"/>
        </w:rPr>
        <w:t>Trainers</w:t>
      </w:r>
      <w:proofErr w:type="spellEnd"/>
      <w:r w:rsidRPr="00163229">
        <w:rPr>
          <w:rFonts w:asciiTheme="majorHAnsi" w:eastAsiaTheme="minorEastAsia" w:hAnsiTheme="majorHAnsi" w:cs="Helvetica"/>
          <w:sz w:val="20"/>
          <w:szCs w:val="20"/>
          <w:lang w:val="es-ES" w:eastAsia="es-ES"/>
        </w:rPr>
        <w:t>, Vol. 4 (2), pp. 26 – 35.</w:t>
      </w:r>
    </w:p>
    <w:p w14:paraId="09B85134" w14:textId="65B8982C" w:rsidR="00D11E0C" w:rsidRPr="00163229" w:rsidRDefault="001E3F6D" w:rsidP="00EC380C">
      <w:pPr>
        <w:pStyle w:val="Prrafodelista"/>
        <w:widowControl w:val="0"/>
        <w:autoSpaceDE w:val="0"/>
        <w:autoSpaceDN w:val="0"/>
        <w:adjustRightInd w:val="0"/>
        <w:spacing w:before="120" w:after="0"/>
        <w:ind w:left="714"/>
        <w:contextualSpacing w:val="0"/>
        <w:rPr>
          <w:rFonts w:asciiTheme="majorHAnsi" w:eastAsiaTheme="minorEastAsia" w:hAnsiTheme="majorHAnsi" w:cs="Helvetica"/>
          <w:sz w:val="20"/>
          <w:szCs w:val="20"/>
          <w:lang w:val="es-ES" w:eastAsia="es-ES"/>
        </w:rPr>
      </w:pPr>
      <w:hyperlink r:id="rId15" w:history="1">
        <w:r w:rsidR="00D11E0C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http://www.ugr.es/~jett/pdf/vol04%282%29_02_jett_martinez_branda_porta.pdf</w:t>
        </w:r>
      </w:hyperlink>
    </w:p>
    <w:p w14:paraId="6757902B" w14:textId="77777777" w:rsidR="000124AE" w:rsidRPr="00163229" w:rsidRDefault="000124AE" w:rsidP="00EC380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14" w:hanging="357"/>
        <w:contextualSpacing w:val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proofErr w:type="spellStart"/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lastRenderedPageBreak/>
        <w:t>Martinez</w:t>
      </w:r>
      <w:proofErr w:type="spellEnd"/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 xml:space="preserve">, Miquel y Pons, </w:t>
      </w:r>
      <w:proofErr w:type="spellStart"/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Ernest</w:t>
      </w:r>
      <w:proofErr w:type="spellEnd"/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 xml:space="preserve"> (2014): “</w:t>
      </w:r>
      <w:r w:rsidRPr="00163229">
        <w:rPr>
          <w:rFonts w:asciiTheme="majorHAnsi" w:eastAsiaTheme="minorEastAsia" w:hAnsiTheme="majorHAnsi" w:cs="Helvetica"/>
          <w:bCs/>
          <w:sz w:val="20"/>
          <w:szCs w:val="20"/>
          <w:lang w:val="es-ES" w:eastAsia="es-ES"/>
        </w:rPr>
        <w:t xml:space="preserve">La valoración que hacen los estudiantes de su experiencia universitaria”. </w:t>
      </w:r>
      <w:r w:rsidRPr="00163229">
        <w:rPr>
          <w:rFonts w:asciiTheme="majorHAnsi" w:eastAsiaTheme="minorEastAsia" w:hAnsiTheme="majorHAnsi" w:cs="Helvetica"/>
          <w:bCs/>
          <w:i/>
          <w:sz w:val="20"/>
          <w:szCs w:val="20"/>
          <w:lang w:val="es-ES" w:eastAsia="es-ES"/>
        </w:rPr>
        <w:t>RASE (</w:t>
      </w:r>
      <w:r w:rsidRPr="00163229">
        <w:rPr>
          <w:rFonts w:asciiTheme="majorHAnsi" w:eastAsiaTheme="minorEastAsia" w:hAnsiTheme="majorHAnsi" w:cs="Garamond"/>
          <w:i/>
          <w:sz w:val="20"/>
          <w:szCs w:val="20"/>
          <w:lang w:val="es-ES" w:eastAsia="es-ES"/>
        </w:rPr>
        <w:t>Revista de la Asociación de Sociología de la Educación</w:t>
      </w:r>
      <w:r w:rsidRPr="00163229">
        <w:rPr>
          <w:rFonts w:asciiTheme="majorHAnsi" w:eastAsiaTheme="minorEastAsia" w:hAnsiTheme="majorHAnsi" w:cs="Helvetica"/>
          <w:bCs/>
          <w:i/>
          <w:sz w:val="20"/>
          <w:szCs w:val="20"/>
          <w:lang w:val="es-ES" w:eastAsia="es-ES"/>
        </w:rPr>
        <w:t>)</w:t>
      </w:r>
      <w:r w:rsidRPr="00163229">
        <w:rPr>
          <w:rFonts w:asciiTheme="majorHAnsi" w:eastAsiaTheme="minorEastAsia" w:hAnsiTheme="majorHAnsi" w:cs="Helvetica"/>
          <w:bCs/>
          <w:sz w:val="20"/>
          <w:szCs w:val="20"/>
          <w:lang w:val="es-ES" w:eastAsia="es-ES"/>
        </w:rPr>
        <w:t xml:space="preserve"> Vol. 7, nº 1, pp. 207-232</w:t>
      </w:r>
      <w:r w:rsidRPr="00163229">
        <w:rPr>
          <w:rFonts w:asciiTheme="majorHAnsi" w:eastAsiaTheme="minorEastAsia" w:hAnsiTheme="majorHAnsi" w:cs="Garamond"/>
          <w:sz w:val="20"/>
          <w:szCs w:val="20"/>
          <w:lang w:val="es-ES" w:eastAsia="es-ES"/>
        </w:rPr>
        <w:t>.</w:t>
      </w:r>
    </w:p>
    <w:p w14:paraId="758050F4" w14:textId="32DD2F82" w:rsidR="00D11E0C" w:rsidRPr="00163229" w:rsidRDefault="001E3F6D" w:rsidP="00EC380C">
      <w:pPr>
        <w:pStyle w:val="Prrafodelista"/>
        <w:widowControl w:val="0"/>
        <w:autoSpaceDE w:val="0"/>
        <w:autoSpaceDN w:val="0"/>
        <w:adjustRightInd w:val="0"/>
        <w:spacing w:before="120" w:after="0"/>
        <w:ind w:left="714"/>
        <w:contextualSpacing w:val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hyperlink r:id="rId16" w:history="1">
        <w:r w:rsidR="00D11E0C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http://rase.ase.es/index.php/RASE/article/viewFile/227/238</w:t>
        </w:r>
      </w:hyperlink>
    </w:p>
    <w:p w14:paraId="2542B7A3" w14:textId="77777777" w:rsidR="000124AE" w:rsidRPr="00163229" w:rsidRDefault="000124AE" w:rsidP="00EC380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14" w:hanging="357"/>
        <w:contextualSpacing w:val="0"/>
        <w:rPr>
          <w:rFonts w:asciiTheme="majorHAnsi" w:eastAsiaTheme="minorEastAsia" w:hAnsiTheme="majorHAnsi" w:cs="Helvetica"/>
          <w:sz w:val="20"/>
          <w:szCs w:val="20"/>
          <w:lang w:val="es-ES" w:eastAsia="es-ES"/>
        </w:rPr>
      </w:pPr>
      <w:r w:rsidRPr="00163229">
        <w:rPr>
          <w:rFonts w:asciiTheme="majorHAnsi" w:eastAsiaTheme="minorEastAsia" w:hAnsiTheme="majorHAnsi" w:cs="Sabon-Roman"/>
          <w:sz w:val="20"/>
          <w:szCs w:val="20"/>
          <w:lang w:val="es-ES" w:eastAsia="es-ES"/>
        </w:rPr>
        <w:t xml:space="preserve">Mas </w:t>
      </w:r>
      <w:proofErr w:type="spellStart"/>
      <w:r w:rsidRPr="00163229">
        <w:rPr>
          <w:rFonts w:asciiTheme="majorHAnsi" w:eastAsiaTheme="minorEastAsia" w:hAnsiTheme="majorHAnsi" w:cs="Sabon-Roman"/>
          <w:sz w:val="20"/>
          <w:szCs w:val="20"/>
          <w:lang w:val="es-ES" w:eastAsia="es-ES"/>
        </w:rPr>
        <w:t>Torelló</w:t>
      </w:r>
      <w:proofErr w:type="spellEnd"/>
      <w:r w:rsidRPr="00163229">
        <w:rPr>
          <w:rFonts w:asciiTheme="majorHAnsi" w:eastAsiaTheme="minorEastAsia" w:hAnsiTheme="majorHAnsi" w:cs="Sabon-Roman"/>
          <w:sz w:val="20"/>
          <w:szCs w:val="20"/>
          <w:lang w:val="es-ES" w:eastAsia="es-ES"/>
        </w:rPr>
        <w:t xml:space="preserve">, Oscar y  Tejada Fernández, José (2013): </w:t>
      </w:r>
      <w:r w:rsidRPr="00163229">
        <w:rPr>
          <w:rFonts w:asciiTheme="majorHAnsi" w:eastAsiaTheme="minorEastAsia" w:hAnsiTheme="majorHAnsi" w:cs="TimesNewRomanPS-BoldMT"/>
          <w:bCs/>
          <w:i/>
          <w:sz w:val="20"/>
          <w:szCs w:val="20"/>
          <w:lang w:val="es-ES" w:eastAsia="es-ES"/>
        </w:rPr>
        <w:t>Funciones y competencias de la docencia universitaria</w:t>
      </w:r>
      <w:r w:rsidRPr="00163229">
        <w:rPr>
          <w:rFonts w:asciiTheme="majorHAnsi" w:eastAsiaTheme="minorEastAsia" w:hAnsiTheme="majorHAnsi" w:cs="TimesNewRomanPS-BoldMT"/>
          <w:bCs/>
          <w:sz w:val="20"/>
          <w:szCs w:val="20"/>
          <w:lang w:val="es-ES" w:eastAsia="es-ES"/>
        </w:rPr>
        <w:t>. Madrid: Síntesis.</w:t>
      </w:r>
    </w:p>
    <w:p w14:paraId="72CFFD1B" w14:textId="43282D39" w:rsidR="00F577CE" w:rsidRPr="00163229" w:rsidRDefault="001E3F6D" w:rsidP="00EC380C">
      <w:pPr>
        <w:pStyle w:val="Prrafodelista"/>
        <w:widowControl w:val="0"/>
        <w:autoSpaceDE w:val="0"/>
        <w:autoSpaceDN w:val="0"/>
        <w:adjustRightInd w:val="0"/>
        <w:spacing w:before="120" w:after="0"/>
        <w:ind w:left="714"/>
        <w:contextualSpacing w:val="0"/>
        <w:rPr>
          <w:rFonts w:asciiTheme="majorHAnsi" w:eastAsiaTheme="minorEastAsia" w:hAnsiTheme="majorHAnsi" w:cs="Helvetica"/>
          <w:sz w:val="20"/>
          <w:szCs w:val="20"/>
          <w:lang w:val="es-ES" w:eastAsia="es-ES"/>
        </w:rPr>
      </w:pPr>
      <w:hyperlink r:id="rId17" w:history="1">
        <w:r w:rsidR="00F577CE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http://www.sintesis.com/data/indices/9788499589916.pdf</w:t>
        </w:r>
      </w:hyperlink>
      <w:r w:rsidR="00F577CE" w:rsidRPr="00163229">
        <w:rPr>
          <w:rFonts w:asciiTheme="majorHAnsi" w:eastAsiaTheme="minorEastAsia" w:hAnsiTheme="majorHAnsi" w:cs="Helvetica"/>
          <w:sz w:val="20"/>
          <w:szCs w:val="20"/>
          <w:lang w:val="es-ES" w:eastAsia="es-ES"/>
        </w:rPr>
        <w:t xml:space="preserve">  (índice)</w:t>
      </w:r>
    </w:p>
    <w:p w14:paraId="0B8B9EEB" w14:textId="77777777" w:rsidR="000124AE" w:rsidRPr="00163229" w:rsidRDefault="000124AE" w:rsidP="00EC380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14" w:hanging="357"/>
        <w:contextualSpacing w:val="0"/>
        <w:rPr>
          <w:rFonts w:asciiTheme="majorHAnsi" w:eastAsiaTheme="minorEastAsia" w:hAnsiTheme="majorHAnsi" w:cs="Helvetica"/>
          <w:sz w:val="20"/>
          <w:szCs w:val="20"/>
          <w:lang w:val="es-ES" w:eastAsia="es-ES"/>
        </w:rPr>
      </w:pPr>
      <w:bookmarkStart w:id="0" w:name="_GoBack"/>
      <w:proofErr w:type="spellStart"/>
      <w:r w:rsidRPr="00163229">
        <w:rPr>
          <w:rFonts w:asciiTheme="majorHAnsi" w:hAnsiTheme="majorHAnsi"/>
          <w:sz w:val="20"/>
          <w:szCs w:val="20"/>
          <w:lang w:val="es-ES"/>
        </w:rPr>
        <w:t>Merhi</w:t>
      </w:r>
      <w:proofErr w:type="spellEnd"/>
      <w:r w:rsidRPr="00163229">
        <w:rPr>
          <w:rFonts w:asciiTheme="majorHAnsi" w:hAnsiTheme="majorHAnsi"/>
          <w:sz w:val="20"/>
          <w:szCs w:val="20"/>
          <w:lang w:val="es-ES"/>
        </w:rPr>
        <w:t>, Richard (2011): “</w:t>
      </w:r>
      <w:r w:rsidRPr="00163229">
        <w:rPr>
          <w:rFonts w:asciiTheme="majorHAnsi" w:hAnsiTheme="majorHAnsi"/>
          <w:bCs/>
          <w:sz w:val="20"/>
          <w:szCs w:val="20"/>
          <w:lang w:val="es-ES"/>
        </w:rPr>
        <w:t>Expectativas del estudiantado en la universidad del nuevo milenio”</w:t>
      </w:r>
      <w:r w:rsidRPr="00163229">
        <w:rPr>
          <w:rFonts w:asciiTheme="majorHAnsi" w:hAnsiTheme="majorHAnsi"/>
          <w:b/>
          <w:bCs/>
          <w:sz w:val="20"/>
          <w:szCs w:val="20"/>
          <w:lang w:val="es-ES"/>
        </w:rPr>
        <w:t xml:space="preserve">. </w:t>
      </w:r>
      <w:r w:rsidRPr="00163229">
        <w:rPr>
          <w:rFonts w:asciiTheme="majorHAnsi" w:hAnsiTheme="majorHAnsi"/>
          <w:i/>
          <w:color w:val="000000" w:themeColor="text1"/>
          <w:sz w:val="20"/>
          <w:szCs w:val="20"/>
          <w:lang w:val="es-ES"/>
        </w:rPr>
        <w:t xml:space="preserve">La </w:t>
      </w:r>
      <w:bookmarkEnd w:id="0"/>
      <w:r w:rsidRPr="00163229">
        <w:rPr>
          <w:rFonts w:asciiTheme="majorHAnsi" w:hAnsiTheme="majorHAnsi"/>
          <w:i/>
          <w:color w:val="000000" w:themeColor="text1"/>
          <w:sz w:val="20"/>
          <w:szCs w:val="20"/>
          <w:lang w:val="es-ES"/>
        </w:rPr>
        <w:t>Cuestión Universitaria</w:t>
      </w:r>
      <w:r w:rsidRPr="00163229">
        <w:rPr>
          <w:rFonts w:asciiTheme="majorHAnsi" w:hAnsiTheme="majorHAnsi"/>
          <w:color w:val="000000" w:themeColor="text1"/>
          <w:sz w:val="20"/>
          <w:szCs w:val="20"/>
          <w:lang w:val="es-ES"/>
        </w:rPr>
        <w:t>, 7, pp. 23-31.</w:t>
      </w:r>
    </w:p>
    <w:p w14:paraId="775BC6E9" w14:textId="5F4DA02F" w:rsidR="00F577CE" w:rsidRPr="00163229" w:rsidRDefault="001E3F6D" w:rsidP="00EC380C">
      <w:pPr>
        <w:pStyle w:val="Prrafodelista"/>
        <w:widowControl w:val="0"/>
        <w:autoSpaceDE w:val="0"/>
        <w:autoSpaceDN w:val="0"/>
        <w:adjustRightInd w:val="0"/>
        <w:spacing w:before="120" w:after="0"/>
        <w:ind w:left="714"/>
        <w:contextualSpacing w:val="0"/>
        <w:rPr>
          <w:rFonts w:asciiTheme="majorHAnsi" w:eastAsiaTheme="minorEastAsia" w:hAnsiTheme="majorHAnsi" w:cs="Helvetica"/>
          <w:sz w:val="20"/>
          <w:szCs w:val="20"/>
          <w:lang w:val="es-ES" w:eastAsia="es-ES"/>
        </w:rPr>
      </w:pPr>
      <w:hyperlink r:id="rId18" w:history="1">
        <w:r w:rsidR="00F577CE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http://www.catedraunesco.es/publicaciones-y-conferencias/122-expectativas-estudiantado-lcu.html</w:t>
        </w:r>
      </w:hyperlink>
    </w:p>
    <w:p w14:paraId="065C416A" w14:textId="03E8C24A" w:rsidR="000124AE" w:rsidRPr="00163229" w:rsidRDefault="00F577CE" w:rsidP="00EC380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14" w:hanging="357"/>
        <w:contextualSpacing w:val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proofErr w:type="spellStart"/>
      <w:r w:rsidRPr="00163229">
        <w:rPr>
          <w:rFonts w:asciiTheme="majorHAnsi" w:eastAsiaTheme="minorEastAsia" w:hAnsiTheme="majorHAnsi" w:cs="Gotham-Book"/>
          <w:color w:val="000000" w:themeColor="text1"/>
          <w:sz w:val="20"/>
          <w:szCs w:val="20"/>
          <w:lang w:val="es-ES" w:eastAsia="es-ES"/>
        </w:rPr>
        <w:t>Michavi</w:t>
      </w:r>
      <w:r w:rsidR="000124AE" w:rsidRPr="00163229">
        <w:rPr>
          <w:rFonts w:asciiTheme="majorHAnsi" w:eastAsiaTheme="minorEastAsia" w:hAnsiTheme="majorHAnsi" w:cs="Gotham-Book"/>
          <w:color w:val="000000" w:themeColor="text1"/>
          <w:sz w:val="20"/>
          <w:szCs w:val="20"/>
          <w:lang w:val="es-ES" w:eastAsia="es-ES"/>
        </w:rPr>
        <w:t>la</w:t>
      </w:r>
      <w:proofErr w:type="spellEnd"/>
      <w:r w:rsidR="000124AE" w:rsidRPr="00163229">
        <w:rPr>
          <w:rFonts w:asciiTheme="majorHAnsi" w:eastAsiaTheme="minorEastAsia" w:hAnsiTheme="majorHAnsi" w:cs="Gotham-Book"/>
          <w:color w:val="000000" w:themeColor="text1"/>
          <w:sz w:val="20"/>
          <w:szCs w:val="20"/>
          <w:lang w:val="es-ES" w:eastAsia="es-ES"/>
        </w:rPr>
        <w:t xml:space="preserve"> Francisco (Dir</w:t>
      </w:r>
      <w:r w:rsidR="000124AE"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.) (2012): La universidad española en cifras 2012. CRUE</w:t>
      </w:r>
    </w:p>
    <w:p w14:paraId="13723D2B" w14:textId="78599D34" w:rsidR="00F577CE" w:rsidRPr="00163229" w:rsidRDefault="001E3F6D" w:rsidP="00EC380C">
      <w:pPr>
        <w:pStyle w:val="Prrafodelista"/>
        <w:widowControl w:val="0"/>
        <w:autoSpaceDE w:val="0"/>
        <w:autoSpaceDN w:val="0"/>
        <w:adjustRightInd w:val="0"/>
        <w:spacing w:before="120" w:after="0"/>
        <w:contextualSpacing w:val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hyperlink r:id="rId19" w:history="1">
        <w:r w:rsidR="00F577CE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http://www.crue.org/Publicaciones/Documents/UEC/LA_UNIVERSIDAD_ESPANOLA_EN_CIFRAS.pdf</w:t>
        </w:r>
      </w:hyperlink>
    </w:p>
    <w:p w14:paraId="1C464126" w14:textId="77777777" w:rsidR="000124AE" w:rsidRPr="00163229" w:rsidRDefault="000124AE" w:rsidP="00EC38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_tradnl" w:eastAsia="es-ES"/>
        </w:rPr>
      </w:pPr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val="es-ES" w:eastAsia="es-ES"/>
        </w:rPr>
        <w:t xml:space="preserve">SALABURU, Pello (2007): </w:t>
      </w:r>
      <w:r w:rsidRPr="00163229">
        <w:rPr>
          <w:rFonts w:asciiTheme="majorHAnsi" w:eastAsiaTheme="minorEastAsia" w:hAnsiTheme="majorHAnsi" w:cs="Helvetica"/>
          <w:bCs/>
          <w:i/>
          <w:iCs/>
          <w:color w:val="000000" w:themeColor="text1"/>
          <w:sz w:val="20"/>
          <w:szCs w:val="20"/>
          <w:lang w:val="es-ES" w:eastAsia="es-ES"/>
        </w:rPr>
        <w:t>La Universidad en la encrucijada. Europa y EEUU</w:t>
      </w:r>
      <w:r w:rsidRPr="00163229">
        <w:rPr>
          <w:rFonts w:asciiTheme="majorHAnsi" w:eastAsiaTheme="minorEastAsia" w:hAnsiTheme="majorHAnsi" w:cs="Helvetica"/>
          <w:bCs/>
          <w:color w:val="000000" w:themeColor="text1"/>
          <w:sz w:val="20"/>
          <w:szCs w:val="20"/>
          <w:lang w:val="es-ES" w:eastAsia="es-ES"/>
        </w:rPr>
        <w:t>. Madrid: Academia Europea de Ciencias y Artes.</w:t>
      </w:r>
    </w:p>
    <w:p w14:paraId="20F0C795" w14:textId="07B14428" w:rsidR="00F577CE" w:rsidRPr="00163229" w:rsidRDefault="001E3F6D" w:rsidP="00EC380C">
      <w:pPr>
        <w:widowControl w:val="0"/>
        <w:autoSpaceDE w:val="0"/>
        <w:autoSpaceDN w:val="0"/>
        <w:adjustRightInd w:val="0"/>
        <w:spacing w:before="120" w:after="0"/>
        <w:ind w:left="7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_tradnl" w:eastAsia="es-ES"/>
        </w:rPr>
      </w:pPr>
      <w:hyperlink r:id="rId20" w:history="1">
        <w:r w:rsidR="00AC25B7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_tradnl" w:eastAsia="es-ES"/>
          </w:rPr>
          <w:t>http://www.academia-europea.org/pdf/La%20Universidad%20en%20la%20encrucijada%20libro.pdf</w:t>
        </w:r>
      </w:hyperlink>
    </w:p>
    <w:p w14:paraId="4E3E06C7" w14:textId="08EBF6D7" w:rsidR="000124AE" w:rsidRPr="00163229" w:rsidRDefault="000124AE" w:rsidP="00EC380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14" w:hanging="357"/>
        <w:contextualSpacing w:val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r w:rsidRPr="00163229">
        <w:rPr>
          <w:rFonts w:asciiTheme="majorHAnsi" w:eastAsiaTheme="minorEastAsia" w:hAnsiTheme="majorHAnsi" w:cs="Gotham-Book"/>
          <w:color w:val="000000" w:themeColor="text1"/>
          <w:sz w:val="20"/>
          <w:szCs w:val="20"/>
          <w:lang w:val="es-ES" w:eastAsia="es-ES"/>
        </w:rPr>
        <w:t xml:space="preserve">VVAA (2011): </w:t>
      </w:r>
      <w:r w:rsidRPr="00163229">
        <w:rPr>
          <w:rFonts w:asciiTheme="majorHAnsi" w:eastAsiaTheme="minorEastAsia" w:hAnsiTheme="majorHAnsi" w:cs="font404"/>
          <w:color w:val="000000" w:themeColor="text1"/>
          <w:sz w:val="20"/>
          <w:szCs w:val="20"/>
          <w:lang w:val="es-ES" w:eastAsia="es-ES"/>
        </w:rPr>
        <w:t xml:space="preserve">"Los estudiantes universitarios en la era digital". </w:t>
      </w:r>
      <w:r w:rsidRPr="00163229">
        <w:rPr>
          <w:rFonts w:asciiTheme="majorHAnsi" w:eastAsiaTheme="minorEastAsia" w:hAnsiTheme="majorHAnsi" w:cs="TrebuchetMS-Bold"/>
          <w:bCs/>
          <w:i/>
          <w:color w:val="000000" w:themeColor="text1"/>
          <w:sz w:val="20"/>
          <w:szCs w:val="20"/>
          <w:lang w:val="es-ES" w:eastAsia="es-ES"/>
        </w:rPr>
        <w:t>La Cuestión Universitaria. Boletín Electrónico de la Cátedra UNESCO de Gestión y Política Universitaria</w:t>
      </w:r>
      <w:r w:rsidRPr="00163229">
        <w:rPr>
          <w:rFonts w:asciiTheme="majorHAnsi" w:eastAsiaTheme="minorEastAsia" w:hAnsiTheme="majorHAnsi" w:cs="TrebuchetMS-Bold"/>
          <w:bCs/>
          <w:color w:val="000000" w:themeColor="text1"/>
          <w:sz w:val="20"/>
          <w:szCs w:val="20"/>
          <w:lang w:val="es-ES" w:eastAsia="es-ES"/>
        </w:rPr>
        <w:t>. Universidad Politécnica de Madrid.</w:t>
      </w:r>
    </w:p>
    <w:p w14:paraId="5447987D" w14:textId="7A012AC3" w:rsidR="00825B1B" w:rsidRPr="00163229" w:rsidRDefault="001E3F6D" w:rsidP="00EC380C">
      <w:pPr>
        <w:pStyle w:val="Prrafodelista"/>
        <w:widowControl w:val="0"/>
        <w:autoSpaceDE w:val="0"/>
        <w:autoSpaceDN w:val="0"/>
        <w:adjustRightInd w:val="0"/>
        <w:spacing w:before="120" w:after="0"/>
        <w:ind w:left="714"/>
        <w:contextualSpacing w:val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hyperlink r:id="rId21" w:history="1">
        <w:r w:rsidR="00825B1B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http://cent.uji.es/octeto/node/2615</w:t>
        </w:r>
      </w:hyperlink>
    </w:p>
    <w:p w14:paraId="3C96CE12" w14:textId="77777777" w:rsidR="000124AE" w:rsidRPr="00163229" w:rsidRDefault="000124AE" w:rsidP="00EC38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_tradnl" w:eastAsia="es-ES"/>
        </w:rPr>
      </w:pPr>
      <w:r w:rsidRPr="00163229">
        <w:rPr>
          <w:rFonts w:asciiTheme="majorHAnsi" w:eastAsiaTheme="minorEastAsia" w:hAnsiTheme="majorHAnsi" w:cs="Gotham-Book"/>
          <w:color w:val="000000" w:themeColor="text1"/>
          <w:sz w:val="20"/>
          <w:szCs w:val="20"/>
          <w:lang w:val="es-ES" w:eastAsia="es-ES"/>
        </w:rPr>
        <w:t xml:space="preserve">VVAA (2013): </w:t>
      </w:r>
      <w:r w:rsidRPr="00163229">
        <w:rPr>
          <w:rFonts w:asciiTheme="majorHAnsi" w:eastAsiaTheme="minorEastAsia" w:hAnsiTheme="majorHAnsi" w:cs="Helvetica"/>
          <w:bCs/>
          <w:i/>
          <w:color w:val="000000" w:themeColor="text1"/>
          <w:sz w:val="20"/>
          <w:szCs w:val="20"/>
          <w:lang w:val="es-ES" w:eastAsia="es-ES"/>
        </w:rPr>
        <w:t>En pos de la educación activa</w:t>
      </w:r>
      <w:r w:rsidRPr="00163229">
        <w:rPr>
          <w:rFonts w:asciiTheme="majorHAnsi" w:eastAsiaTheme="minorEastAsia" w:hAnsiTheme="majorHAnsi" w:cs="font404"/>
          <w:color w:val="000000" w:themeColor="text1"/>
          <w:sz w:val="20"/>
          <w:szCs w:val="20"/>
          <w:lang w:val="es-ES" w:eastAsia="es-ES"/>
        </w:rPr>
        <w:t xml:space="preserve">. </w:t>
      </w:r>
      <w:r w:rsidRPr="00163229">
        <w:rPr>
          <w:rFonts w:asciiTheme="majorHAnsi" w:eastAsiaTheme="minorEastAsia" w:hAnsiTheme="majorHAnsi" w:cs="Helvetica"/>
          <w:bCs/>
          <w:i/>
          <w:color w:val="000000" w:themeColor="text1"/>
          <w:sz w:val="20"/>
          <w:szCs w:val="20"/>
          <w:lang w:val="es-ES" w:eastAsia="es-ES"/>
        </w:rPr>
        <w:t xml:space="preserve">Tendencias Universidad, nº 1. </w:t>
      </w:r>
      <w:r w:rsidRPr="00163229">
        <w:rPr>
          <w:rFonts w:asciiTheme="majorHAnsi" w:eastAsiaTheme="minorEastAsia" w:hAnsiTheme="majorHAnsi" w:cs="TrebuchetMS-Bold"/>
          <w:bCs/>
          <w:color w:val="000000" w:themeColor="text1"/>
          <w:sz w:val="20"/>
          <w:szCs w:val="20"/>
          <w:lang w:val="es-ES" w:eastAsia="es-ES"/>
        </w:rPr>
        <w:t>Cátedra UNESCO de Gestión y Política Universitaria. Universidad Politécnica de Madrid.</w:t>
      </w:r>
    </w:p>
    <w:p w14:paraId="513F5600" w14:textId="297BF607" w:rsidR="00825B1B" w:rsidRPr="00163229" w:rsidRDefault="001E3F6D" w:rsidP="00EC380C">
      <w:pPr>
        <w:widowControl w:val="0"/>
        <w:autoSpaceDE w:val="0"/>
        <w:autoSpaceDN w:val="0"/>
        <w:adjustRightInd w:val="0"/>
        <w:spacing w:before="120" w:after="0"/>
        <w:ind w:left="7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_tradnl" w:eastAsia="es-ES"/>
        </w:rPr>
      </w:pPr>
      <w:hyperlink r:id="rId22" w:history="1">
        <w:r w:rsidR="00825B1B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_tradnl" w:eastAsia="es-ES"/>
          </w:rPr>
          <w:t>http://www.catedraunesco.es/tendencias-universidad/CatedraUNESCO-Tendencias-AprendizajeActivo-2013.pdf</w:t>
        </w:r>
      </w:hyperlink>
    </w:p>
    <w:p w14:paraId="006C50D9" w14:textId="77777777" w:rsidR="000124AE" w:rsidRPr="00163229" w:rsidRDefault="000124AE" w:rsidP="00EC380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14" w:hanging="357"/>
        <w:contextualSpacing w:val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VVAA (2014)</w:t>
      </w:r>
      <w:r w:rsidRPr="00163229">
        <w:rPr>
          <w:rFonts w:asciiTheme="majorHAnsi" w:eastAsiaTheme="minorEastAsia" w:hAnsiTheme="majorHAnsi" w:cs="Helvetica"/>
          <w:sz w:val="20"/>
          <w:szCs w:val="20"/>
          <w:lang w:val="es-ES" w:eastAsia="es-ES"/>
        </w:rPr>
        <w:t>: “</w:t>
      </w:r>
      <w:r w:rsidRPr="00163229">
        <w:rPr>
          <w:rFonts w:asciiTheme="majorHAnsi" w:eastAsiaTheme="minorEastAsia" w:hAnsiTheme="majorHAnsi" w:cs="Arial"/>
          <w:sz w:val="20"/>
          <w:szCs w:val="20"/>
          <w:lang w:val="es-ES" w:eastAsia="es-ES"/>
        </w:rPr>
        <w:t xml:space="preserve">El nuevo estudiante en el Espacio Europeo de Educación Superior”. Número monográfico. </w:t>
      </w:r>
      <w:r w:rsidRPr="00163229">
        <w:rPr>
          <w:rFonts w:asciiTheme="majorHAnsi" w:eastAsiaTheme="minorEastAsia" w:hAnsiTheme="majorHAnsi" w:cs="Arial"/>
          <w:i/>
          <w:sz w:val="20"/>
          <w:szCs w:val="20"/>
          <w:lang w:val="es-ES" w:eastAsia="es-ES"/>
        </w:rPr>
        <w:t>Tendencias Pedagógicas</w:t>
      </w:r>
      <w:r w:rsidRPr="00163229">
        <w:rPr>
          <w:rFonts w:asciiTheme="majorHAnsi" w:eastAsiaTheme="minorEastAsia" w:hAnsiTheme="majorHAnsi" w:cs="Arial"/>
          <w:sz w:val="20"/>
          <w:szCs w:val="20"/>
          <w:lang w:val="es-ES" w:eastAsia="es-ES"/>
        </w:rPr>
        <w:t>, nº 23.</w:t>
      </w:r>
    </w:p>
    <w:p w14:paraId="239D0D4E" w14:textId="51F9AE8A" w:rsidR="00825B1B" w:rsidRPr="00163229" w:rsidRDefault="001E3F6D" w:rsidP="00EC380C">
      <w:pPr>
        <w:pStyle w:val="Prrafodelista"/>
        <w:widowControl w:val="0"/>
        <w:autoSpaceDE w:val="0"/>
        <w:autoSpaceDN w:val="0"/>
        <w:adjustRightInd w:val="0"/>
        <w:spacing w:before="120" w:after="0"/>
        <w:ind w:left="714"/>
        <w:contextualSpacing w:val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hyperlink r:id="rId23" w:history="1">
        <w:r w:rsidR="00825B1B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" w:eastAsia="es-ES"/>
          </w:rPr>
          <w:t>http://www.tendenciaspedagogicas.com/revista_monografico.asp?_numero=23</w:t>
        </w:r>
      </w:hyperlink>
    </w:p>
    <w:p w14:paraId="5666532C" w14:textId="77777777" w:rsidR="000124AE" w:rsidRPr="00163229" w:rsidRDefault="000124AE" w:rsidP="00EC380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714" w:hanging="357"/>
        <w:contextualSpacing w:val="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  <w:r w:rsidRPr="00163229"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  <w:t>VVAA (2014): “</w:t>
      </w:r>
      <w:r w:rsidRPr="00163229">
        <w:rPr>
          <w:rFonts w:asciiTheme="majorHAnsi" w:eastAsiaTheme="minorEastAsia" w:hAnsiTheme="majorHAnsi" w:cs="Arial-BoldMT"/>
          <w:bCs/>
          <w:color w:val="000000"/>
          <w:sz w:val="20"/>
          <w:szCs w:val="20"/>
          <w:lang w:val="es-ES" w:eastAsia="es-ES"/>
        </w:rPr>
        <w:t xml:space="preserve">Gobierno y gobernanza de la universidad: el debate emergente.” Número monográfico. </w:t>
      </w:r>
      <w:r w:rsidRPr="00163229">
        <w:rPr>
          <w:rFonts w:asciiTheme="majorHAnsi" w:eastAsiaTheme="minorEastAsia" w:hAnsiTheme="majorHAnsi" w:cs="LucidaGrande-Bold"/>
          <w:bCs/>
          <w:i/>
          <w:sz w:val="20"/>
          <w:szCs w:val="20"/>
          <w:lang w:val="es-ES" w:eastAsia="es-ES"/>
        </w:rPr>
        <w:t>Bordón. Revista de pedagogía</w:t>
      </w:r>
      <w:r w:rsidRPr="00163229">
        <w:rPr>
          <w:rFonts w:asciiTheme="majorHAnsi" w:eastAsiaTheme="minorEastAsia" w:hAnsiTheme="majorHAnsi" w:cs="LucidaGrande-Bold"/>
          <w:bCs/>
          <w:sz w:val="20"/>
          <w:szCs w:val="20"/>
          <w:lang w:val="es-ES" w:eastAsia="es-ES"/>
        </w:rPr>
        <w:t>. Vol. 66, Nº 1.</w:t>
      </w:r>
    </w:p>
    <w:p w14:paraId="67255E78" w14:textId="2462F110" w:rsidR="003D0E1F" w:rsidRPr="00163229" w:rsidRDefault="001E3F6D" w:rsidP="00EC380C">
      <w:pPr>
        <w:widowControl w:val="0"/>
        <w:autoSpaceDE w:val="0"/>
        <w:autoSpaceDN w:val="0"/>
        <w:adjustRightInd w:val="0"/>
        <w:spacing w:before="120" w:after="0"/>
        <w:ind w:left="709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_tradnl" w:eastAsia="es-ES"/>
        </w:rPr>
      </w:pPr>
      <w:hyperlink r:id="rId24" w:history="1">
        <w:r w:rsidR="00825B1B" w:rsidRPr="00163229">
          <w:rPr>
            <w:rStyle w:val="Hipervnculo"/>
            <w:rFonts w:asciiTheme="majorHAnsi" w:eastAsiaTheme="minorEastAsia" w:hAnsiTheme="majorHAnsi" w:cs="Helvetica"/>
            <w:sz w:val="20"/>
            <w:szCs w:val="20"/>
            <w:lang w:val="es-ES_tradnl" w:eastAsia="es-ES"/>
          </w:rPr>
          <w:t>http://www.riseu.unam.mx/documentos/acervo_documental/66_1_completo.pdf</w:t>
        </w:r>
      </w:hyperlink>
    </w:p>
    <w:p w14:paraId="75C95480" w14:textId="77777777" w:rsidR="007C0565" w:rsidRPr="00163229" w:rsidRDefault="007C0565" w:rsidP="007C0565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</w:p>
    <w:p w14:paraId="4A51BD87" w14:textId="688148CF" w:rsidR="007C0565" w:rsidRPr="00163229" w:rsidRDefault="007C0565" w:rsidP="007C0565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</w:p>
    <w:p w14:paraId="645A5188" w14:textId="50915890" w:rsidR="007C0565" w:rsidRPr="00163229" w:rsidRDefault="007C0565" w:rsidP="007C0565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</w:p>
    <w:p w14:paraId="29C633B6" w14:textId="77777777" w:rsidR="009E4DDD" w:rsidRPr="00163229" w:rsidRDefault="009E4DDD" w:rsidP="009E4DDD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" w:eastAsia="es-ES"/>
        </w:rPr>
      </w:pPr>
    </w:p>
    <w:p w14:paraId="7E9494D5" w14:textId="77777777" w:rsidR="00825B1B" w:rsidRPr="00163229" w:rsidRDefault="00825B1B" w:rsidP="000124AE">
      <w:pPr>
        <w:widowControl w:val="0"/>
        <w:autoSpaceDE w:val="0"/>
        <w:autoSpaceDN w:val="0"/>
        <w:adjustRightInd w:val="0"/>
        <w:spacing w:before="120" w:after="120"/>
        <w:ind w:left="360"/>
        <w:rPr>
          <w:rFonts w:asciiTheme="majorHAnsi" w:eastAsiaTheme="minorEastAsia" w:hAnsiTheme="majorHAnsi" w:cs="Helvetica"/>
          <w:color w:val="000000" w:themeColor="text1"/>
          <w:sz w:val="20"/>
          <w:szCs w:val="20"/>
          <w:lang w:val="es-ES_tradnl" w:eastAsia="es-ES"/>
        </w:rPr>
      </w:pPr>
    </w:p>
    <w:sectPr w:rsidR="00825B1B" w:rsidRPr="00163229" w:rsidSect="00DC66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otham-Book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ECSquareSansPro-Regular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bon-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ont40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-Bold">
    <w:altName w:val="Trebuchet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Grande-Bold">
    <w:altName w:val="Lucida Grande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5C2"/>
    <w:multiLevelType w:val="hybridMultilevel"/>
    <w:tmpl w:val="88246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27554"/>
    <w:multiLevelType w:val="hybridMultilevel"/>
    <w:tmpl w:val="F3B05DA0"/>
    <w:lvl w:ilvl="0" w:tplc="3188A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8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4A2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F6F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2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A1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29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E3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68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C91B4E"/>
    <w:multiLevelType w:val="hybridMultilevel"/>
    <w:tmpl w:val="70E433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3A"/>
    <w:rsid w:val="000124AE"/>
    <w:rsid w:val="000B33A7"/>
    <w:rsid w:val="000D391B"/>
    <w:rsid w:val="00142E8D"/>
    <w:rsid w:val="00163229"/>
    <w:rsid w:val="001904B4"/>
    <w:rsid w:val="001E3F6D"/>
    <w:rsid w:val="002D1185"/>
    <w:rsid w:val="003D0E1F"/>
    <w:rsid w:val="003E581F"/>
    <w:rsid w:val="005C5DFD"/>
    <w:rsid w:val="006C0FDA"/>
    <w:rsid w:val="00797AE1"/>
    <w:rsid w:val="007C0565"/>
    <w:rsid w:val="00825B1B"/>
    <w:rsid w:val="00855315"/>
    <w:rsid w:val="009E4DDD"/>
    <w:rsid w:val="00A22C1C"/>
    <w:rsid w:val="00AC25B7"/>
    <w:rsid w:val="00B5384E"/>
    <w:rsid w:val="00B77A35"/>
    <w:rsid w:val="00B97913"/>
    <w:rsid w:val="00D11E0C"/>
    <w:rsid w:val="00D37A3A"/>
    <w:rsid w:val="00DC66F9"/>
    <w:rsid w:val="00E66D34"/>
    <w:rsid w:val="00EC380C"/>
    <w:rsid w:val="00F577CE"/>
    <w:rsid w:val="00F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005A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A3A"/>
    <w:pPr>
      <w:spacing w:after="200"/>
    </w:pPr>
    <w:rPr>
      <w:rFonts w:ascii="Century Gothic" w:eastAsia="Times New Roman" w:hAnsi="Century Gothic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A3A"/>
    <w:pPr>
      <w:ind w:left="720"/>
      <w:contextualSpacing/>
    </w:pPr>
  </w:style>
  <w:style w:type="paragraph" w:customStyle="1" w:styleId="Default">
    <w:name w:val="Default"/>
    <w:rsid w:val="005C5DFD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lang w:val="es-ES"/>
    </w:rPr>
  </w:style>
  <w:style w:type="character" w:styleId="Hipervnculo">
    <w:name w:val="Hyperlink"/>
    <w:basedOn w:val="Fuentedeprrafopredeter"/>
    <w:uiPriority w:val="99"/>
    <w:unhideWhenUsed/>
    <w:rsid w:val="008553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38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A3A"/>
    <w:pPr>
      <w:spacing w:after="200"/>
    </w:pPr>
    <w:rPr>
      <w:rFonts w:ascii="Century Gothic" w:eastAsia="Times New Roman" w:hAnsi="Century Gothic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A3A"/>
    <w:pPr>
      <w:ind w:left="720"/>
      <w:contextualSpacing/>
    </w:pPr>
  </w:style>
  <w:style w:type="paragraph" w:customStyle="1" w:styleId="Default">
    <w:name w:val="Default"/>
    <w:rsid w:val="005C5DFD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lang w:val="es-ES"/>
    </w:rPr>
  </w:style>
  <w:style w:type="character" w:styleId="Hipervnculo">
    <w:name w:val="Hyperlink"/>
    <w:basedOn w:val="Fuentedeprrafopredeter"/>
    <w:uiPriority w:val="99"/>
    <w:unhideWhenUsed/>
    <w:rsid w:val="008553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3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826">
          <w:marLeft w:val="547"/>
          <w:marRight w:val="0"/>
          <w:marTop w:val="144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042">
          <w:marLeft w:val="547"/>
          <w:marRight w:val="0"/>
          <w:marTop w:val="144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571">
          <w:marLeft w:val="547"/>
          <w:marRight w:val="0"/>
          <w:marTop w:val="144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743">
          <w:marLeft w:val="547"/>
          <w:marRight w:val="0"/>
          <w:marTop w:val="144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industriales.upct.es/pdfs/propuesta_renovacion_crue.pdf" TargetMode="External"/><Relationship Id="rId20" Type="http://schemas.openxmlformats.org/officeDocument/2006/relationships/hyperlink" Target="http://www.academia-europea.org/pdf/La%20Universidad%20en%20la%20encrucijada%20libro.pdf" TargetMode="External"/><Relationship Id="rId21" Type="http://schemas.openxmlformats.org/officeDocument/2006/relationships/hyperlink" Target="http://cent.uji.es/octeto/node/2615" TargetMode="External"/><Relationship Id="rId22" Type="http://schemas.openxmlformats.org/officeDocument/2006/relationships/hyperlink" Target="http://www.catedraunesco.es/tendencias-universidad/CatedraUNESCO-Tendencias-AprendizajeActivo-2013.pdf" TargetMode="External"/><Relationship Id="rId23" Type="http://schemas.openxmlformats.org/officeDocument/2006/relationships/hyperlink" Target="http://www.tendenciaspedagogicas.com/revista_monografico.asp?_numero=23" TargetMode="External"/><Relationship Id="rId24" Type="http://schemas.openxmlformats.org/officeDocument/2006/relationships/hyperlink" Target="http://www.riseu.unam.mx/documentos/acervo_documental/66_1_completo.pdf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unesco.org/education/WCHE2009/comunicado_es.pdf" TargetMode="External"/><Relationship Id="rId11" Type="http://schemas.openxmlformats.org/officeDocument/2006/relationships/hyperlink" Target="http://books.google.es/books?id=cD53PgAACAAJ&amp;dq=%E2%80%A2%09FINKEL,+DON+%282000%29:+Dar+clase+con+la+boca+cerrada&amp;hl=es&amp;sa=X&amp;ei=zMZ5U_mXMafC0QXkm4HgCA&amp;ved=0CDoQ6AEwAA" TargetMode="External"/><Relationship Id="rId12" Type="http://schemas.openxmlformats.org/officeDocument/2006/relationships/hyperlink" Target="http://ec.europa.eu/education/library/reports/modernisation_en.pdf" TargetMode="External"/><Relationship Id="rId13" Type="http://schemas.openxmlformats.org/officeDocument/2006/relationships/hyperlink" Target="http://eacea.ec.europa.eu/education/eurydice/documents/thematic_reports/122ES.pdf" TargetMode="External"/><Relationship Id="rId14" Type="http://schemas.openxmlformats.org/officeDocument/2006/relationships/hyperlink" Target="http://www.ehea.info/Uploads/%281%29/Bologna%20Process%20Implementation%20Report.pdf" TargetMode="External"/><Relationship Id="rId15" Type="http://schemas.openxmlformats.org/officeDocument/2006/relationships/hyperlink" Target="http://www.ugr.es/~jett/pdf/vol04%282%29_02_jett_martinez_branda_porta.pdf" TargetMode="External"/><Relationship Id="rId16" Type="http://schemas.openxmlformats.org/officeDocument/2006/relationships/hyperlink" Target="http://rase.ase.es/index.php/RASE/article/viewFile/227/238" TargetMode="External"/><Relationship Id="rId17" Type="http://schemas.openxmlformats.org/officeDocument/2006/relationships/hyperlink" Target="http://www.sintesis.com/data/indices/9788499589916.pdf" TargetMode="External"/><Relationship Id="rId18" Type="http://schemas.openxmlformats.org/officeDocument/2006/relationships/hyperlink" Target="http://www.catedraunesco.es/publicaciones-y-conferencias/122-expectativas-estudiantado-lcu.html" TargetMode="External"/><Relationship Id="rId19" Type="http://schemas.openxmlformats.org/officeDocument/2006/relationships/hyperlink" Target="http://www.crue.org/Publicaciones/Documents/UEC/LA_UNIVERSIDAD_ESPANOLA_EN_CIFRAS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ooks.google.es/books/about/Lo_que_hacen_los_mejores_profesores_de_u.html?id=Jf2LHxIIQZMC" TargetMode="External"/><Relationship Id="rId7" Type="http://schemas.openxmlformats.org/officeDocument/2006/relationships/hyperlink" Target="http://books.google.es/books?id=iMYeIgA_JJsC&amp;printsec=frontcover&amp;dq=%E2%80%A2%09BIGGS,+J.+%282004%29:+Calidad+del+aprendizaje+universitario&amp;hl=es&amp;sa=X&amp;ei=X8d5U_PcF86S0QXZjYHADQ&amp;ved=0CDIQ6AEwAA" TargetMode="External"/><Relationship Id="rId8" Type="http://schemas.openxmlformats.org/officeDocument/2006/relationships/hyperlink" Target="http://www.mecd.gob.es/prensa-mecd/dms/mecd/servicios-al-ciudadano-mecd/participacion-publica/sistemauniversitario/propuestas-reform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1034</Words>
  <Characters>5689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bernal</dc:creator>
  <cp:keywords/>
  <dc:description/>
  <cp:lastModifiedBy>jose luis bernal</cp:lastModifiedBy>
  <cp:revision>22</cp:revision>
  <cp:lastPrinted>2014-05-19T09:25:00Z</cp:lastPrinted>
  <dcterms:created xsi:type="dcterms:W3CDTF">2014-05-17T09:44:00Z</dcterms:created>
  <dcterms:modified xsi:type="dcterms:W3CDTF">2014-05-20T08:19:00Z</dcterms:modified>
</cp:coreProperties>
</file>